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E21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区属有关部门、单位：</w:t>
      </w:r>
    </w:p>
    <w:p w14:paraId="0D5C839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为贯彻落实党中央、国务院、自治区、包头市、石拐区政府关于深化“放管服”改革、优化营商环境的决策部署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，结合石拐区政务服务线上线下运行实际，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经区政府2025年第1次常务会议研究通过，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石拐区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修改、调整后保留了5475项区本级行政权力事项以及183行政许可事项。现将《石拐区本级2024年权责清单》及《石拐区2024年行政许可事项清单》印发给你们，请认真抓好落实。</w:t>
      </w:r>
      <w:bookmarkStart w:id="0" w:name="_GoBack"/>
      <w:bookmarkEnd w:id="0"/>
    </w:p>
    <w:p w14:paraId="413EB6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501DEAE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石拐区本级2024年权责清单</w:t>
      </w:r>
    </w:p>
    <w:p w14:paraId="5F2D80B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1600" w:firstLineChars="5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  <w:t>石拐区2024年行政许可事项清单</w:t>
      </w:r>
    </w:p>
    <w:p w14:paraId="7C95E8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right="0" w:firstLine="448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5BE3DA6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​石拐区人民政府办公室</w:t>
      </w:r>
    </w:p>
    <w:p w14:paraId="3F621D5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2025年1月9日</w:t>
      </w:r>
    </w:p>
    <w:p w14:paraId="0B5E0E4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right="0" w:firstLine="645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 </w:t>
      </w:r>
    </w:p>
    <w:p w14:paraId="7AC9FFE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（此件公开发布）</w:t>
      </w:r>
    </w:p>
    <w:p w14:paraId="1EFC26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3479"/>
    <w:rsid w:val="03B36503"/>
    <w:rsid w:val="0D3A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2025-08-04T02:53:00Z</dcterms:created>
  <dc:creator>Administrator</dc:creator>
  <cp:lastModifiedBy>郝</cp:lastModifiedBy>
  <dcterms:modified xsi:type="dcterms:W3CDTF">2026-05-20T06:58:12Z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5B8DC9F0BD6B4A49B84F055153373A62_12</vt:lpwstr>
  </property>
  <property fmtid="{D5CDD505-2E9C-101B-9397-08002B2CF9AE}" pid="4" name="KSOTemplateDocerSaveRecord">
    <vt:lpwstr>eyJoZGlkIjoiNGQxMWYzMzgxYjIyODYwOTNiNWJlMTVkNjRmNTliYjQiLCJ1c2VySWQiOiIxMjkwMDMzMzk4In0=</vt:lpwstr>
  </property>
</Properties>
</file>