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F9D0B">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60" w:lineRule="exact"/>
        <w:ind w:left="0" w:firstLine="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各街道，吉忽伦图苏木、五当召镇，各部门，包头石拐经济开发区，区直属各机关、事业单位、各人民团体、驻区各单位：</w:t>
      </w:r>
    </w:p>
    <w:p w14:paraId="04406014">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60" w:lineRule="exact"/>
        <w:ind w:left="0"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为进一步优化营商环境，维护市场公平竞争秩序，发挥公平竞争审查刚性约束作用，区人民政府办公室对区人民政府和政府办公室名义制发的行政规范性文件和政策性文件进行了专项清理，清理结果已于2025年8月12日经区人民政府2025年第12次常务会议审议通过，现就有关事宜通知如下。</w:t>
      </w:r>
    </w:p>
    <w:p w14:paraId="709DD1DD">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60" w:lineRule="exact"/>
        <w:ind w:left="0"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一、对废止和宣布失效的行政规范性文件和政策性文件，自本通知发布之日起停止执行，不再作为行政管理和行政执法的依据。已有新的替代政策文件出台并明确旧文件废止时间的，按其规定执行。</w:t>
      </w:r>
    </w:p>
    <w:p w14:paraId="4B4EE9BC">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60" w:lineRule="exact"/>
        <w:ind w:left="0"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二、各部门、单位要对照本通知，及时对本区域、本部门单位出台的相关配套行政规范性文件作出相应处理。</w:t>
      </w:r>
    </w:p>
    <w:p w14:paraId="300BB57A">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60" w:lineRule="exact"/>
        <w:ind w:left="0"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 </w:t>
      </w:r>
    </w:p>
    <w:p w14:paraId="7991A1AF">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60" w:lineRule="exact"/>
        <w:ind w:left="0"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附件：1.废止的行政规范性文件和政策性文件目录</w:t>
      </w:r>
    </w:p>
    <w:p w14:paraId="3A3BEA38">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60" w:lineRule="exact"/>
        <w:ind w:left="0"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   2.宣布失效的行政规范性文件和政策性文件目录</w:t>
      </w:r>
    </w:p>
    <w:p w14:paraId="74FF1D9F">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60" w:lineRule="exact"/>
        <w:ind w:left="0"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206448A4">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60" w:lineRule="exact"/>
        <w:ind w:left="0" w:firstLine="645"/>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石拐区人民政府办公室</w:t>
      </w:r>
    </w:p>
    <w:p w14:paraId="6DDEA1E1">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60" w:lineRule="exact"/>
        <w:ind w:left="0" w:firstLine="645"/>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2025年8月13日 </w:t>
      </w:r>
    </w:p>
    <w:p w14:paraId="4EEFD9A9">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60" w:lineRule="exact"/>
        <w:ind w:left="0" w:firstLine="645"/>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736D23D8">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60" w:lineRule="exact"/>
        <w:ind w:left="0" w:firstLine="64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（此件公开发布）</w:t>
      </w:r>
    </w:p>
    <w:p w14:paraId="2E774411">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60" w:lineRule="exact"/>
        <w:ind w:left="0" w:firstLine="64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 </w:t>
      </w:r>
    </w:p>
    <w:p w14:paraId="355BCC27">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附件1</w:t>
      </w:r>
    </w:p>
    <w:p w14:paraId="4780AA37">
      <w:pPr>
        <w:pStyle w:val="2"/>
        <w:keepNext w:val="0"/>
        <w:keepLines w:val="0"/>
        <w:widowControl/>
        <w:suppressLineNumbers w:val="0"/>
        <w:spacing w:before="240" w:beforeAutospacing="0" w:after="0" w:afterAutospacing="0" w:line="420" w:lineRule="atLeast"/>
        <w:jc w:val="both"/>
        <w:rPr>
          <w:sz w:val="27"/>
          <w:szCs w:val="27"/>
        </w:rPr>
      </w:pPr>
      <w:r>
        <w:rPr>
          <w:rFonts w:hint="eastAsia" w:ascii="微软雅黑" w:hAnsi="微软雅黑" w:eastAsia="微软雅黑" w:cs="微软雅黑"/>
          <w:spacing w:val="0"/>
          <w:sz w:val="27"/>
          <w:szCs w:val="27"/>
        </w:rPr>
        <w:t> </w:t>
      </w:r>
    </w:p>
    <w:p w14:paraId="791EAEE8">
      <w:pPr>
        <w:pStyle w:val="2"/>
        <w:keepNext w:val="0"/>
        <w:keepLines w:val="0"/>
        <w:widowControl/>
        <w:suppressLineNumbers w:val="0"/>
        <w:spacing w:before="240" w:beforeAutospacing="0" w:after="0" w:afterAutospacing="0" w:line="420" w:lineRule="atLeast"/>
        <w:jc w:val="center"/>
        <w:rPr>
          <w:sz w:val="27"/>
          <w:szCs w:val="27"/>
        </w:rPr>
      </w:pPr>
      <w:r>
        <w:rPr>
          <w:rFonts w:hint="eastAsia" w:ascii="方正小标宋简体" w:hAnsi="方正小标宋简体" w:eastAsia="方正小标宋简体" w:cs="方正小标宋简体"/>
          <w:spacing w:val="0"/>
          <w:sz w:val="36"/>
          <w:szCs w:val="36"/>
        </w:rPr>
        <w:t>废止的行政规范性文件和政策性文件目录</w:t>
      </w:r>
      <w:r>
        <w:rPr>
          <w:rFonts w:hint="eastAsia" w:ascii="微软雅黑" w:hAnsi="微软雅黑" w:eastAsia="微软雅黑" w:cs="微软雅黑"/>
          <w:spacing w:val="0"/>
          <w:sz w:val="27"/>
          <w:szCs w:val="27"/>
        </w:rPr>
        <w:t> </w:t>
      </w:r>
    </w:p>
    <w:tbl>
      <w:tblPr>
        <w:tblW w:w="0" w:type="auto"/>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75" w:type="dxa"/>
          <w:left w:w="150" w:type="dxa"/>
          <w:bottom w:w="75" w:type="dxa"/>
          <w:right w:w="150" w:type="dxa"/>
        </w:tblCellMar>
      </w:tblPr>
      <w:tblGrid>
        <w:gridCol w:w="885"/>
        <w:gridCol w:w="5235"/>
        <w:gridCol w:w="3060"/>
      </w:tblGrid>
      <w:tr w14:paraId="6F8F1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780" w:hRule="atLeast"/>
        </w:trPr>
        <w:tc>
          <w:tcPr>
            <w:tcW w:w="885" w:type="dxa"/>
            <w:tcBorders>
              <w:top w:val="nil"/>
              <w:left w:val="nil"/>
              <w:bottom w:val="nil"/>
              <w:right w:val="nil"/>
            </w:tcBorders>
            <w:shd w:val="clear"/>
            <w:tcMar>
              <w:top w:w="0" w:type="dxa"/>
              <w:left w:w="105" w:type="dxa"/>
              <w:bottom w:w="0" w:type="dxa"/>
              <w:right w:w="105" w:type="dxa"/>
            </w:tcMar>
            <w:vAlign w:val="center"/>
          </w:tcPr>
          <w:p w14:paraId="47203D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0" w:afterAutospacing="0" w:line="42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bdr w:val="none" w:color="auto" w:sz="0" w:space="0"/>
              </w:rPr>
              <w:t>序号</w:t>
            </w:r>
          </w:p>
        </w:tc>
        <w:tc>
          <w:tcPr>
            <w:tcW w:w="5235" w:type="dxa"/>
            <w:tcBorders>
              <w:top w:val="nil"/>
              <w:left w:val="nil"/>
              <w:bottom w:val="nil"/>
              <w:right w:val="nil"/>
            </w:tcBorders>
            <w:shd w:val="clear"/>
            <w:tcMar>
              <w:top w:w="0" w:type="dxa"/>
              <w:left w:w="105" w:type="dxa"/>
              <w:bottom w:w="0" w:type="dxa"/>
              <w:right w:w="105" w:type="dxa"/>
            </w:tcMar>
            <w:vAlign w:val="center"/>
          </w:tcPr>
          <w:p w14:paraId="25F4D6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0" w:afterAutospacing="0" w:line="42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bdr w:val="none" w:color="auto" w:sz="0" w:space="0"/>
              </w:rPr>
              <w:t>文件名称</w:t>
            </w:r>
          </w:p>
        </w:tc>
        <w:tc>
          <w:tcPr>
            <w:tcW w:w="3060" w:type="dxa"/>
            <w:tcBorders>
              <w:top w:val="nil"/>
              <w:left w:val="nil"/>
              <w:bottom w:val="nil"/>
              <w:right w:val="nil"/>
            </w:tcBorders>
            <w:shd w:val="clear"/>
            <w:tcMar>
              <w:top w:w="0" w:type="dxa"/>
              <w:left w:w="105" w:type="dxa"/>
              <w:bottom w:w="0" w:type="dxa"/>
              <w:right w:w="105" w:type="dxa"/>
            </w:tcMar>
            <w:vAlign w:val="center"/>
          </w:tcPr>
          <w:p w14:paraId="10AEF6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0" w:afterAutospacing="0" w:line="42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bdr w:val="none" w:color="auto" w:sz="0" w:space="0"/>
              </w:rPr>
              <w:t>文号</w:t>
            </w:r>
          </w:p>
        </w:tc>
      </w:tr>
      <w:tr w14:paraId="4D9FA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1110" w:hRule="atLeast"/>
        </w:trPr>
        <w:tc>
          <w:tcPr>
            <w:tcW w:w="885" w:type="dxa"/>
            <w:tcBorders>
              <w:top w:val="nil"/>
              <w:left w:val="nil"/>
              <w:bottom w:val="nil"/>
              <w:right w:val="nil"/>
            </w:tcBorders>
            <w:shd w:val="clear"/>
            <w:tcMar>
              <w:top w:w="0" w:type="dxa"/>
              <w:left w:w="105" w:type="dxa"/>
              <w:bottom w:w="0" w:type="dxa"/>
              <w:right w:w="105" w:type="dxa"/>
            </w:tcMar>
            <w:vAlign w:val="center"/>
          </w:tcPr>
          <w:p w14:paraId="681846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0" w:afterAutospacing="0" w:line="42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bdr w:val="none" w:color="auto" w:sz="0" w:space="0"/>
              </w:rPr>
              <w:t>1</w:t>
            </w:r>
          </w:p>
        </w:tc>
        <w:tc>
          <w:tcPr>
            <w:tcW w:w="5235" w:type="dxa"/>
            <w:tcBorders>
              <w:top w:val="nil"/>
              <w:left w:val="nil"/>
              <w:bottom w:val="nil"/>
              <w:right w:val="nil"/>
            </w:tcBorders>
            <w:shd w:val="clear"/>
            <w:tcMar>
              <w:top w:w="0" w:type="dxa"/>
              <w:left w:w="105" w:type="dxa"/>
              <w:bottom w:w="0" w:type="dxa"/>
              <w:right w:w="105" w:type="dxa"/>
            </w:tcMar>
            <w:vAlign w:val="center"/>
          </w:tcPr>
          <w:p w14:paraId="3FED44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0" w:afterAutospacing="0" w:line="420" w:lineRule="atLeast"/>
              <w:ind w:left="0" w:right="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石拐区人民政府办公室关于建立石拐区投资项目咨询会商调度服务机制的通知</w:t>
            </w:r>
          </w:p>
        </w:tc>
        <w:tc>
          <w:tcPr>
            <w:tcW w:w="3060" w:type="dxa"/>
            <w:tcBorders>
              <w:top w:val="nil"/>
              <w:left w:val="nil"/>
              <w:bottom w:val="nil"/>
              <w:right w:val="nil"/>
            </w:tcBorders>
            <w:shd w:val="clear"/>
            <w:tcMar>
              <w:top w:w="0" w:type="dxa"/>
              <w:left w:w="105" w:type="dxa"/>
              <w:bottom w:w="0" w:type="dxa"/>
              <w:right w:w="105" w:type="dxa"/>
            </w:tcMar>
            <w:vAlign w:val="center"/>
          </w:tcPr>
          <w:p w14:paraId="3F51B1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0" w:afterAutospacing="0" w:line="420" w:lineRule="atLeast"/>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石府办发〔2019〕5号</w:t>
            </w:r>
          </w:p>
        </w:tc>
      </w:tr>
      <w:tr w14:paraId="1C2C6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1110" w:hRule="atLeast"/>
        </w:trPr>
        <w:tc>
          <w:tcPr>
            <w:tcW w:w="885" w:type="dxa"/>
            <w:tcBorders>
              <w:top w:val="nil"/>
              <w:left w:val="nil"/>
              <w:bottom w:val="nil"/>
              <w:right w:val="nil"/>
            </w:tcBorders>
            <w:shd w:val="clear"/>
            <w:tcMar>
              <w:top w:w="0" w:type="dxa"/>
              <w:left w:w="105" w:type="dxa"/>
              <w:bottom w:w="0" w:type="dxa"/>
              <w:right w:w="105" w:type="dxa"/>
            </w:tcMar>
            <w:vAlign w:val="center"/>
          </w:tcPr>
          <w:p w14:paraId="226A40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0" w:afterAutospacing="0" w:line="42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bdr w:val="none" w:color="auto" w:sz="0" w:space="0"/>
              </w:rPr>
              <w:t>2</w:t>
            </w:r>
          </w:p>
        </w:tc>
        <w:tc>
          <w:tcPr>
            <w:tcW w:w="5235" w:type="dxa"/>
            <w:tcBorders>
              <w:top w:val="nil"/>
              <w:left w:val="nil"/>
              <w:bottom w:val="nil"/>
              <w:right w:val="nil"/>
            </w:tcBorders>
            <w:shd w:val="clear"/>
            <w:tcMar>
              <w:top w:w="0" w:type="dxa"/>
              <w:left w:w="105" w:type="dxa"/>
              <w:bottom w:w="0" w:type="dxa"/>
              <w:right w:w="105" w:type="dxa"/>
            </w:tcMar>
            <w:vAlign w:val="center"/>
          </w:tcPr>
          <w:p w14:paraId="22AA09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0" w:afterAutospacing="0" w:line="420" w:lineRule="atLeast"/>
              <w:ind w:left="0" w:right="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石拐区人民政府办公室关于印发《进一步加强招商引资工作的实施意见》的通知</w:t>
            </w:r>
          </w:p>
        </w:tc>
        <w:tc>
          <w:tcPr>
            <w:tcW w:w="3060" w:type="dxa"/>
            <w:tcBorders>
              <w:top w:val="nil"/>
              <w:left w:val="nil"/>
              <w:bottom w:val="nil"/>
              <w:right w:val="nil"/>
            </w:tcBorders>
            <w:shd w:val="clear"/>
            <w:tcMar>
              <w:top w:w="0" w:type="dxa"/>
              <w:left w:w="105" w:type="dxa"/>
              <w:bottom w:w="0" w:type="dxa"/>
              <w:right w:w="105" w:type="dxa"/>
            </w:tcMar>
            <w:vAlign w:val="center"/>
          </w:tcPr>
          <w:p w14:paraId="534F9D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0" w:afterAutospacing="0" w:line="420" w:lineRule="atLeast"/>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石府办发〔2020〕5号</w:t>
            </w:r>
          </w:p>
        </w:tc>
      </w:tr>
      <w:tr w14:paraId="4C060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1110" w:hRule="atLeast"/>
        </w:trPr>
        <w:tc>
          <w:tcPr>
            <w:tcW w:w="885" w:type="dxa"/>
            <w:tcBorders>
              <w:top w:val="nil"/>
              <w:left w:val="nil"/>
              <w:bottom w:val="nil"/>
              <w:right w:val="nil"/>
            </w:tcBorders>
            <w:shd w:val="clear"/>
            <w:tcMar>
              <w:top w:w="0" w:type="dxa"/>
              <w:left w:w="105" w:type="dxa"/>
              <w:bottom w:w="0" w:type="dxa"/>
              <w:right w:w="105" w:type="dxa"/>
            </w:tcMar>
            <w:vAlign w:val="center"/>
          </w:tcPr>
          <w:p w14:paraId="44E240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0" w:afterAutospacing="0" w:line="42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bdr w:val="none" w:color="auto" w:sz="0" w:space="0"/>
              </w:rPr>
              <w:t>3</w:t>
            </w:r>
          </w:p>
        </w:tc>
        <w:tc>
          <w:tcPr>
            <w:tcW w:w="5235" w:type="dxa"/>
            <w:tcBorders>
              <w:top w:val="nil"/>
              <w:left w:val="nil"/>
              <w:bottom w:val="nil"/>
              <w:right w:val="nil"/>
            </w:tcBorders>
            <w:shd w:val="clear"/>
            <w:tcMar>
              <w:top w:w="0" w:type="dxa"/>
              <w:left w:w="105" w:type="dxa"/>
              <w:bottom w:w="0" w:type="dxa"/>
              <w:right w:w="105" w:type="dxa"/>
            </w:tcMar>
            <w:vAlign w:val="center"/>
          </w:tcPr>
          <w:p w14:paraId="1A40E3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0" w:afterAutospacing="0" w:line="420" w:lineRule="atLeast"/>
              <w:ind w:left="0" w:right="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石拐区人民政府办公室关于印发《石拐区人民政府关于建立政府组成部门“特派联络员”支持和服务企业发展的制度》的通知</w:t>
            </w:r>
          </w:p>
        </w:tc>
        <w:tc>
          <w:tcPr>
            <w:tcW w:w="3060" w:type="dxa"/>
            <w:tcBorders>
              <w:top w:val="nil"/>
              <w:left w:val="nil"/>
              <w:bottom w:val="nil"/>
              <w:right w:val="nil"/>
            </w:tcBorders>
            <w:shd w:val="clear"/>
            <w:tcMar>
              <w:top w:w="0" w:type="dxa"/>
              <w:left w:w="105" w:type="dxa"/>
              <w:bottom w:w="0" w:type="dxa"/>
              <w:right w:w="105" w:type="dxa"/>
            </w:tcMar>
            <w:vAlign w:val="center"/>
          </w:tcPr>
          <w:p w14:paraId="634E8C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0" w:afterAutospacing="0" w:line="420" w:lineRule="atLeast"/>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石府办发〔2020〕12号</w:t>
            </w:r>
          </w:p>
        </w:tc>
      </w:tr>
      <w:tr w14:paraId="17F0F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1110" w:hRule="atLeast"/>
        </w:trPr>
        <w:tc>
          <w:tcPr>
            <w:tcW w:w="885" w:type="dxa"/>
            <w:tcBorders>
              <w:top w:val="nil"/>
              <w:left w:val="nil"/>
              <w:bottom w:val="nil"/>
              <w:right w:val="nil"/>
            </w:tcBorders>
            <w:shd w:val="clear"/>
            <w:tcMar>
              <w:top w:w="0" w:type="dxa"/>
              <w:left w:w="105" w:type="dxa"/>
              <w:bottom w:w="0" w:type="dxa"/>
              <w:right w:w="105" w:type="dxa"/>
            </w:tcMar>
            <w:vAlign w:val="center"/>
          </w:tcPr>
          <w:p w14:paraId="7C9DA3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0" w:afterAutospacing="0" w:line="42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bdr w:val="none" w:color="auto" w:sz="0" w:space="0"/>
              </w:rPr>
              <w:t>4</w:t>
            </w:r>
          </w:p>
        </w:tc>
        <w:tc>
          <w:tcPr>
            <w:tcW w:w="5235" w:type="dxa"/>
            <w:tcBorders>
              <w:top w:val="nil"/>
              <w:left w:val="nil"/>
              <w:bottom w:val="nil"/>
              <w:right w:val="nil"/>
            </w:tcBorders>
            <w:shd w:val="clear"/>
            <w:tcMar>
              <w:top w:w="0" w:type="dxa"/>
              <w:left w:w="105" w:type="dxa"/>
              <w:bottom w:w="0" w:type="dxa"/>
              <w:right w:w="105" w:type="dxa"/>
            </w:tcMar>
            <w:vAlign w:val="center"/>
          </w:tcPr>
          <w:p w14:paraId="309448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0" w:afterAutospacing="0" w:line="420" w:lineRule="atLeast"/>
              <w:ind w:left="0" w:right="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石拐区人民政府办公室关于印发《石拐区服务企业高质量发展专项工作方案》的通知</w:t>
            </w:r>
          </w:p>
        </w:tc>
        <w:tc>
          <w:tcPr>
            <w:tcW w:w="3060" w:type="dxa"/>
            <w:tcBorders>
              <w:top w:val="nil"/>
              <w:left w:val="nil"/>
              <w:bottom w:val="nil"/>
              <w:right w:val="nil"/>
            </w:tcBorders>
            <w:shd w:val="clear"/>
            <w:tcMar>
              <w:top w:w="0" w:type="dxa"/>
              <w:left w:w="105" w:type="dxa"/>
              <w:bottom w:w="0" w:type="dxa"/>
              <w:right w:w="105" w:type="dxa"/>
            </w:tcMar>
            <w:vAlign w:val="center"/>
          </w:tcPr>
          <w:p w14:paraId="7D6293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0" w:afterAutospacing="0" w:line="420" w:lineRule="atLeast"/>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石府办发〔2024〕15号</w:t>
            </w:r>
          </w:p>
        </w:tc>
      </w:tr>
    </w:tbl>
    <w:p w14:paraId="5FBBE281">
      <w:pPr>
        <w:pStyle w:val="2"/>
        <w:keepNext w:val="0"/>
        <w:keepLines w:val="0"/>
        <w:widowControl/>
        <w:suppressLineNumbers w:val="0"/>
        <w:spacing w:before="240" w:beforeAutospacing="0" w:after="0" w:afterAutospacing="0" w:line="42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附件2</w:t>
      </w:r>
      <w:bookmarkStart w:id="0" w:name="_GoBack"/>
      <w:bookmarkEnd w:id="0"/>
    </w:p>
    <w:p w14:paraId="1E83CA03">
      <w:pPr>
        <w:pStyle w:val="2"/>
        <w:keepNext w:val="0"/>
        <w:keepLines w:val="0"/>
        <w:widowControl/>
        <w:suppressLineNumbers w:val="0"/>
        <w:spacing w:before="240" w:beforeAutospacing="0" w:after="0" w:afterAutospacing="0" w:line="420" w:lineRule="atLeast"/>
        <w:jc w:val="both"/>
        <w:rPr>
          <w:sz w:val="27"/>
          <w:szCs w:val="27"/>
        </w:rPr>
      </w:pPr>
      <w:r>
        <w:rPr>
          <w:rFonts w:hint="eastAsia" w:ascii="微软雅黑" w:hAnsi="微软雅黑" w:eastAsia="微软雅黑" w:cs="微软雅黑"/>
          <w:spacing w:val="0"/>
          <w:sz w:val="27"/>
          <w:szCs w:val="27"/>
        </w:rPr>
        <w:t> </w:t>
      </w:r>
    </w:p>
    <w:p w14:paraId="056EBF85">
      <w:pPr>
        <w:pStyle w:val="2"/>
        <w:keepNext w:val="0"/>
        <w:keepLines w:val="0"/>
        <w:widowControl/>
        <w:suppressLineNumbers w:val="0"/>
        <w:spacing w:before="240" w:beforeAutospacing="0" w:after="0" w:afterAutospacing="0" w:line="420" w:lineRule="atLeast"/>
        <w:jc w:val="center"/>
        <w:rPr>
          <w:sz w:val="27"/>
          <w:szCs w:val="27"/>
        </w:rPr>
      </w:pPr>
      <w:r>
        <w:rPr>
          <w:rFonts w:hint="eastAsia" w:ascii="方正小标宋简体" w:hAnsi="方正小标宋简体" w:eastAsia="方正小标宋简体" w:cs="方正小标宋简体"/>
          <w:spacing w:val="0"/>
          <w:sz w:val="36"/>
          <w:szCs w:val="36"/>
        </w:rPr>
        <w:t>宣布失效的行政规范性文件和政策性文件目录</w:t>
      </w:r>
      <w:r>
        <w:rPr>
          <w:rFonts w:hint="eastAsia" w:ascii="微软雅黑" w:hAnsi="微软雅黑" w:eastAsia="微软雅黑" w:cs="微软雅黑"/>
          <w:spacing w:val="0"/>
          <w:sz w:val="27"/>
          <w:szCs w:val="27"/>
        </w:rPr>
        <w:t> </w:t>
      </w:r>
    </w:p>
    <w:tbl>
      <w:tblPr>
        <w:tblW w:w="0" w:type="auto"/>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75" w:type="dxa"/>
          <w:left w:w="150" w:type="dxa"/>
          <w:bottom w:w="75" w:type="dxa"/>
          <w:right w:w="150" w:type="dxa"/>
        </w:tblCellMar>
      </w:tblPr>
      <w:tblGrid>
        <w:gridCol w:w="885"/>
        <w:gridCol w:w="5235"/>
        <w:gridCol w:w="3060"/>
      </w:tblGrid>
      <w:tr w14:paraId="48E49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780" w:hRule="atLeast"/>
        </w:trPr>
        <w:tc>
          <w:tcPr>
            <w:tcW w:w="885" w:type="dxa"/>
            <w:tcBorders>
              <w:top w:val="nil"/>
              <w:left w:val="nil"/>
              <w:bottom w:val="nil"/>
              <w:right w:val="nil"/>
            </w:tcBorders>
            <w:shd w:val="clear"/>
            <w:tcMar>
              <w:top w:w="0" w:type="dxa"/>
              <w:left w:w="105" w:type="dxa"/>
              <w:bottom w:w="0" w:type="dxa"/>
              <w:right w:w="105" w:type="dxa"/>
            </w:tcMar>
            <w:vAlign w:val="center"/>
          </w:tcPr>
          <w:p w14:paraId="29205A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0" w:afterAutospacing="0" w:line="42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bdr w:val="none" w:color="auto" w:sz="0" w:space="0"/>
              </w:rPr>
              <w:t>序号</w:t>
            </w:r>
          </w:p>
        </w:tc>
        <w:tc>
          <w:tcPr>
            <w:tcW w:w="5235" w:type="dxa"/>
            <w:tcBorders>
              <w:top w:val="nil"/>
              <w:left w:val="nil"/>
              <w:bottom w:val="nil"/>
              <w:right w:val="nil"/>
            </w:tcBorders>
            <w:shd w:val="clear"/>
            <w:tcMar>
              <w:top w:w="0" w:type="dxa"/>
              <w:left w:w="105" w:type="dxa"/>
              <w:bottom w:w="0" w:type="dxa"/>
              <w:right w:w="105" w:type="dxa"/>
            </w:tcMar>
            <w:vAlign w:val="center"/>
          </w:tcPr>
          <w:p w14:paraId="35F124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0" w:afterAutospacing="0" w:line="42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bdr w:val="none" w:color="auto" w:sz="0" w:space="0"/>
              </w:rPr>
              <w:t>文件名称</w:t>
            </w:r>
          </w:p>
        </w:tc>
        <w:tc>
          <w:tcPr>
            <w:tcW w:w="3060" w:type="dxa"/>
            <w:tcBorders>
              <w:top w:val="nil"/>
              <w:left w:val="nil"/>
              <w:bottom w:val="nil"/>
              <w:right w:val="nil"/>
            </w:tcBorders>
            <w:shd w:val="clear"/>
            <w:tcMar>
              <w:top w:w="0" w:type="dxa"/>
              <w:left w:w="105" w:type="dxa"/>
              <w:bottom w:w="0" w:type="dxa"/>
              <w:right w:w="105" w:type="dxa"/>
            </w:tcMar>
            <w:vAlign w:val="center"/>
          </w:tcPr>
          <w:p w14:paraId="01136C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0" w:afterAutospacing="0" w:line="42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bdr w:val="none" w:color="auto" w:sz="0" w:space="0"/>
              </w:rPr>
              <w:t>文号</w:t>
            </w:r>
          </w:p>
        </w:tc>
      </w:tr>
      <w:tr w14:paraId="0AD7D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1500" w:hRule="atLeast"/>
        </w:trPr>
        <w:tc>
          <w:tcPr>
            <w:tcW w:w="885" w:type="dxa"/>
            <w:tcBorders>
              <w:top w:val="nil"/>
              <w:left w:val="nil"/>
              <w:bottom w:val="nil"/>
              <w:right w:val="nil"/>
            </w:tcBorders>
            <w:shd w:val="clear"/>
            <w:tcMar>
              <w:top w:w="0" w:type="dxa"/>
              <w:left w:w="105" w:type="dxa"/>
              <w:bottom w:w="0" w:type="dxa"/>
              <w:right w:w="105" w:type="dxa"/>
            </w:tcMar>
            <w:vAlign w:val="center"/>
          </w:tcPr>
          <w:p w14:paraId="658799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0" w:afterAutospacing="0" w:line="42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bdr w:val="none" w:color="auto" w:sz="0" w:space="0"/>
              </w:rPr>
              <w:t>1</w:t>
            </w:r>
          </w:p>
        </w:tc>
        <w:tc>
          <w:tcPr>
            <w:tcW w:w="5235" w:type="dxa"/>
            <w:tcBorders>
              <w:top w:val="nil"/>
              <w:left w:val="nil"/>
              <w:bottom w:val="nil"/>
              <w:right w:val="nil"/>
            </w:tcBorders>
            <w:shd w:val="clear"/>
            <w:tcMar>
              <w:top w:w="0" w:type="dxa"/>
              <w:left w:w="105" w:type="dxa"/>
              <w:bottom w:w="0" w:type="dxa"/>
              <w:right w:w="105" w:type="dxa"/>
            </w:tcMar>
            <w:vAlign w:val="center"/>
          </w:tcPr>
          <w:p w14:paraId="301EA2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0" w:afterAutospacing="0" w:line="420" w:lineRule="atLeast"/>
              <w:ind w:left="0" w:right="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石拐区人民政府关于印发《石拐区重大投资项目保姆式服务暂行办法》的通知</w:t>
            </w:r>
          </w:p>
        </w:tc>
        <w:tc>
          <w:tcPr>
            <w:tcW w:w="3060" w:type="dxa"/>
            <w:tcBorders>
              <w:top w:val="nil"/>
              <w:left w:val="nil"/>
              <w:bottom w:val="nil"/>
              <w:right w:val="nil"/>
            </w:tcBorders>
            <w:shd w:val="clear"/>
            <w:tcMar>
              <w:top w:w="0" w:type="dxa"/>
              <w:left w:w="105" w:type="dxa"/>
              <w:bottom w:w="0" w:type="dxa"/>
              <w:right w:w="105" w:type="dxa"/>
            </w:tcMar>
            <w:vAlign w:val="center"/>
          </w:tcPr>
          <w:p w14:paraId="0290E3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0" w:afterAutospacing="0" w:line="420" w:lineRule="atLeast"/>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石府发〔2018〕45号</w:t>
            </w:r>
          </w:p>
        </w:tc>
      </w:tr>
      <w:tr w14:paraId="1DE1C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1500" w:hRule="atLeast"/>
        </w:trPr>
        <w:tc>
          <w:tcPr>
            <w:tcW w:w="885" w:type="dxa"/>
            <w:tcBorders>
              <w:top w:val="nil"/>
              <w:left w:val="nil"/>
              <w:bottom w:val="nil"/>
              <w:right w:val="nil"/>
            </w:tcBorders>
            <w:shd w:val="clear"/>
            <w:tcMar>
              <w:top w:w="0" w:type="dxa"/>
              <w:left w:w="105" w:type="dxa"/>
              <w:bottom w:w="0" w:type="dxa"/>
              <w:right w:w="105" w:type="dxa"/>
            </w:tcMar>
            <w:vAlign w:val="center"/>
          </w:tcPr>
          <w:p w14:paraId="5EFA08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0" w:afterAutospacing="0" w:line="42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bdr w:val="none" w:color="auto" w:sz="0" w:space="0"/>
              </w:rPr>
              <w:t>2</w:t>
            </w:r>
          </w:p>
        </w:tc>
        <w:tc>
          <w:tcPr>
            <w:tcW w:w="5235" w:type="dxa"/>
            <w:tcBorders>
              <w:top w:val="nil"/>
              <w:left w:val="nil"/>
              <w:bottom w:val="nil"/>
              <w:right w:val="nil"/>
            </w:tcBorders>
            <w:shd w:val="clear"/>
            <w:tcMar>
              <w:top w:w="0" w:type="dxa"/>
              <w:left w:w="105" w:type="dxa"/>
              <w:bottom w:w="0" w:type="dxa"/>
              <w:right w:w="105" w:type="dxa"/>
            </w:tcMar>
            <w:vAlign w:val="center"/>
          </w:tcPr>
          <w:p w14:paraId="36D01D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0" w:afterAutospacing="0" w:line="420" w:lineRule="atLeast"/>
              <w:ind w:left="0" w:right="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石拐区人民政府办公室关于印发《石拐区旅游招商优惠政策（试行）》《石拐区促进旅游业发展奖励办法（试行）》《石拐区旅游发展专项资金管理暂行办法（试行）》等3个文件的通知</w:t>
            </w:r>
          </w:p>
        </w:tc>
        <w:tc>
          <w:tcPr>
            <w:tcW w:w="3060" w:type="dxa"/>
            <w:tcBorders>
              <w:top w:val="nil"/>
              <w:left w:val="nil"/>
              <w:bottom w:val="nil"/>
              <w:right w:val="nil"/>
            </w:tcBorders>
            <w:shd w:val="clear"/>
            <w:tcMar>
              <w:top w:w="0" w:type="dxa"/>
              <w:left w:w="105" w:type="dxa"/>
              <w:bottom w:w="0" w:type="dxa"/>
              <w:right w:w="105" w:type="dxa"/>
            </w:tcMar>
            <w:vAlign w:val="center"/>
          </w:tcPr>
          <w:p w14:paraId="5BEF18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0" w:afterAutospacing="0" w:line="420" w:lineRule="atLeast"/>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石府办发〔2018〕51号</w:t>
            </w:r>
          </w:p>
        </w:tc>
      </w:tr>
    </w:tbl>
    <w:p w14:paraId="588F6B2C">
      <w:pPr>
        <w:pStyle w:val="2"/>
        <w:keepNext w:val="0"/>
        <w:keepLines w:val="0"/>
        <w:widowControl/>
        <w:suppressLineNumbers w:val="0"/>
        <w:spacing w:line="315" w:lineRule="atLeast"/>
        <w:rPr>
          <w:sz w:val="27"/>
          <w:szCs w:val="27"/>
        </w:rPr>
      </w:pPr>
    </w:p>
    <w:p w14:paraId="1EFC26F6"/>
    <w:sectPr>
      <w:pgSz w:w="11906" w:h="16838"/>
      <w:pgMar w:top="2098" w:right="1474" w:bottom="198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D3479"/>
    <w:rsid w:val="030E6F67"/>
    <w:rsid w:val="03B36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2025-08-04T02:53:00Z</dcterms:created>
  <dc:creator>Administrator</dc:creator>
  <cp:lastModifiedBy>郝</cp:lastModifiedBy>
  <dcterms:modified xsi:type="dcterms:W3CDTF">2026-05-20T06:48:02Z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5B8DC9F0BD6B4A49B84F055153373A62_12</vt:lpwstr>
  </property>
  <property fmtid="{D5CDD505-2E9C-101B-9397-08002B2CF9AE}" pid="4" name="KSOTemplateDocerSaveRecord">
    <vt:lpwstr>eyJoZGlkIjoiNGQxMWYzMzgxYjIyODYwOTNiNWJlMTVkNjRmNTliYjQiLCJ1c2VySWQiOiIxMjkwMDMzMzk4In0=</vt:lpwstr>
  </property>
</Properties>
</file>